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47E41D">
      <w:pPr>
        <w:pStyle w:val="8"/>
        <w:spacing w:line="700" w:lineRule="exact"/>
        <w:jc w:val="center"/>
        <w:rPr>
          <w:rFonts w:ascii="Times New Roman" w:hAnsi="Times New Roman" w:eastAsia="方正小标宋简体" w:cs="Times New Roman"/>
          <w:sz w:val="44"/>
          <w:szCs w:val="32"/>
        </w:rPr>
      </w:pPr>
      <w:r>
        <w:rPr>
          <w:rFonts w:ascii="Times New Roman" w:hAnsi="Times New Roman" w:eastAsia="方正小标宋简体" w:cs="Times New Roman"/>
          <w:sz w:val="44"/>
          <w:szCs w:val="32"/>
        </w:rPr>
        <w:t>石家庄市公安局</w:t>
      </w:r>
    </w:p>
    <w:p w14:paraId="09CA39D8">
      <w:pPr>
        <w:pStyle w:val="8"/>
        <w:spacing w:line="700" w:lineRule="exact"/>
        <w:jc w:val="center"/>
        <w:rPr>
          <w:rFonts w:ascii="Times New Roman" w:hAnsi="Times New Roman" w:eastAsia="方正小标宋简体" w:cs="Times New Roman"/>
          <w:sz w:val="44"/>
          <w:szCs w:val="32"/>
        </w:rPr>
      </w:pPr>
      <w:r>
        <w:rPr>
          <w:rFonts w:hint="eastAsia" w:ascii="Times New Roman" w:hAnsi="Times New Roman" w:eastAsia="方正小标宋简体" w:cs="Times New Roman"/>
          <w:sz w:val="44"/>
          <w:szCs w:val="32"/>
        </w:rPr>
        <w:t>关于</w:t>
      </w:r>
      <w:r>
        <w:rPr>
          <w:rFonts w:ascii="Times New Roman" w:hAnsi="Times New Roman" w:eastAsia="方正小标宋简体" w:cs="Times New Roman"/>
          <w:sz w:val="44"/>
          <w:szCs w:val="32"/>
        </w:rPr>
        <w:t>2025年法治政府建设工作情况</w:t>
      </w:r>
      <w:r>
        <w:rPr>
          <w:rFonts w:hint="eastAsia" w:ascii="Times New Roman" w:hAnsi="Times New Roman" w:eastAsia="方正小标宋简体" w:cs="Times New Roman"/>
          <w:sz w:val="44"/>
          <w:szCs w:val="32"/>
        </w:rPr>
        <w:t>的</w:t>
      </w:r>
      <w:r>
        <w:rPr>
          <w:rFonts w:ascii="Times New Roman" w:hAnsi="Times New Roman" w:eastAsia="方正小标宋简体" w:cs="Times New Roman"/>
          <w:sz w:val="44"/>
          <w:szCs w:val="32"/>
        </w:rPr>
        <w:t>报告</w:t>
      </w:r>
    </w:p>
    <w:p w14:paraId="19052853">
      <w:pPr>
        <w:spacing w:line="560" w:lineRule="exact"/>
        <w:ind w:firstLine="420" w:firstLineChars="200"/>
        <w:rPr>
          <w:rFonts w:ascii="Times New Roman" w:hAnsi="Times New Roman" w:cs="Times New Roman"/>
          <w:szCs w:val="32"/>
        </w:rPr>
      </w:pPr>
    </w:p>
    <w:p w14:paraId="72975363">
      <w:pPr>
        <w:adjustRightInd w:val="0"/>
        <w:snapToGrid w:val="0"/>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2025年，石家庄市公安局在市委、市政府和省公安厅的坚强领导下，深入学习贯彻习近平法治思想和习近平总书记关于新时代公安工作的重要论述，全面落实党的二十大和</w:t>
      </w:r>
      <w:r>
        <w:rPr>
          <w:rFonts w:hint="eastAsia" w:ascii="仿宋_GB2312" w:hAnsi="仿宋" w:eastAsia="仿宋_GB2312" w:cs="仿宋"/>
          <w:sz w:val="32"/>
          <w:szCs w:val="32"/>
          <w:lang w:val="en-US" w:eastAsia="zh-CN"/>
        </w:rPr>
        <w:t>二十届</w:t>
      </w:r>
      <w:bookmarkStart w:id="0" w:name="_GoBack"/>
      <w:bookmarkEnd w:id="0"/>
      <w:r>
        <w:rPr>
          <w:rFonts w:hint="eastAsia" w:ascii="仿宋_GB2312" w:hAnsi="仿宋" w:eastAsia="仿宋_GB2312" w:cs="仿宋"/>
          <w:sz w:val="32"/>
          <w:szCs w:val="32"/>
        </w:rPr>
        <w:t>历次全会精神，以实施公安机关新质战斗力提升工程为抓手，深化“专业+机制+大数据”新型警务运行模式，紧扣“加快建设现代化、国际化美丽省会城市”中心任务，统筹推进法治公安、法治政府、法治社会一体建设，为全市高质量发展营造了安全稳定的社会环境、公平正义的法治环境和优质高效的服务环境。获中央、部、省、市领导批示肯定258次，公安部、省公安厅贺电表扬60次。</w:t>
      </w:r>
      <w:r>
        <w:rPr>
          <w:rFonts w:hint="eastAsia" w:ascii="仿宋_GB2312" w:hAnsi="仿宋" w:eastAsia="仿宋_GB2312" w:cs="仿宋"/>
          <w:bCs/>
          <w:sz w:val="32"/>
          <w:szCs w:val="32"/>
        </w:rPr>
        <w:t>群众对公安队伍满意度、公众安全感分别位列全省第二、第三，创历史最好成绩，为我市连续两年获评“最具幸福感城市”、连续3年入选“营商环境创新城市”、连续4年获评“中国年度最佳引才城市”、成功创建全国法治政府建设示范城市贡献了公安力量。</w:t>
      </w:r>
      <w:r>
        <w:rPr>
          <w:rFonts w:hint="eastAsia" w:ascii="仿宋_GB2312" w:hAnsi="仿宋" w:eastAsia="仿宋_GB2312" w:cs="仿宋"/>
          <w:sz w:val="32"/>
          <w:szCs w:val="32"/>
        </w:rPr>
        <w:t>现将工作情况报告如下：</w:t>
      </w:r>
    </w:p>
    <w:p w14:paraId="6C2C998E">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一、坚持政治引领，锻造忠诚过硬铁军</w:t>
      </w:r>
    </w:p>
    <w:p w14:paraId="07B96D45">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始终把政治建警摆在首位，以从严管党治警为保障，全面提升队伍凝聚力、战斗力。全年组织局党委会“第一议题”学习31次、理论学习中心组集中学习12次，系统学习习近平法治思想及上级决策部署，党委领导力、统筹力显著增强。</w:t>
      </w:r>
      <w:r>
        <w:rPr>
          <w:rFonts w:hint="eastAsia" w:ascii="仿宋_GB2312" w:hAnsi="仿宋" w:eastAsia="仿宋_GB2312" w:cs="仿宋"/>
          <w:sz w:val="32"/>
          <w:szCs w:val="32"/>
          <w:lang w:val="en-US" w:eastAsia="zh-CN"/>
        </w:rPr>
        <w:t>深入贯彻</w:t>
      </w:r>
      <w:r>
        <w:rPr>
          <w:rFonts w:hint="eastAsia" w:ascii="仿宋_GB2312" w:hAnsi="仿宋" w:eastAsia="仿宋_GB2312" w:cs="仿宋"/>
          <w:sz w:val="32"/>
          <w:szCs w:val="32"/>
        </w:rPr>
        <w:t>中央八项规定精神学习教育成果，纵深推进整治形式主义为基层减负、群众身边不正之风和腐败问题集中整治，聚焦队伍内部风险隐患、规范执法、网络言行、纪律作风、辅警管理等5个重点领域，将责任压实到“最小单元”；持续深化公安部“六项规定”、警车管理“十严禁”、“枪酒密”专项教育整顿，推动作风建设常态长效，为公安工作高质量发展提供坚实法纪保障。</w:t>
      </w:r>
    </w:p>
    <w:p w14:paraId="5791050D">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二、深化法治宣传，厚植尊法学法氛围</w:t>
      </w:r>
    </w:p>
    <w:p w14:paraId="0AF5126E">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坚持“谁执法谁普法”责任制，构建全员参与、精准覆盖的法治宣传体系。</w:t>
      </w:r>
      <w:r>
        <w:rPr>
          <w:rFonts w:hint="eastAsia" w:ascii="仿宋_GB2312" w:hAnsi="仿宋" w:eastAsia="仿宋_GB2312" w:cs="仿宋"/>
          <w:bCs/>
          <w:sz w:val="32"/>
          <w:szCs w:val="32"/>
        </w:rPr>
        <w:t>一是领导带头示范，推动全员普法。</w:t>
      </w:r>
      <w:r>
        <w:rPr>
          <w:rFonts w:hint="eastAsia" w:ascii="仿宋_GB2312" w:hAnsi="仿宋" w:eastAsia="仿宋_GB2312" w:cs="仿宋"/>
          <w:sz w:val="32"/>
          <w:szCs w:val="32"/>
        </w:rPr>
        <w:t>严格落实“每月一主题”普法计划，开展“法律九进”“法治九建”活动，打造市县两级自媒体普法矩阵，发表各类宣传稿件4434篇、推文视频2332篇，结合重大节日、节点强化特色宣传，讲好警察故事，推动普法与执法深度融合，既提升群众法治意识，又规范民警执法行为。</w:t>
      </w:r>
      <w:r>
        <w:rPr>
          <w:rFonts w:hint="eastAsia" w:ascii="仿宋_GB2312" w:hAnsi="仿宋" w:eastAsia="仿宋_GB2312" w:cs="仿宋"/>
          <w:bCs/>
          <w:sz w:val="32"/>
          <w:szCs w:val="32"/>
        </w:rPr>
        <w:t>二是聚焦“关键少数”，强化引领带动。</w:t>
      </w:r>
      <w:r>
        <w:rPr>
          <w:rFonts w:hint="eastAsia" w:ascii="仿宋_GB2312" w:hAnsi="仿宋" w:eastAsia="仿宋_GB2312" w:cs="仿宋"/>
          <w:sz w:val="32"/>
          <w:szCs w:val="32"/>
        </w:rPr>
        <w:t>局党委通过党委会、局长办公会、执法监督管理委员会、中心组学习会等形式，组织系列学法研法活动；开展“大学法大提升”行动，成立专项领导小组，制定任务清单，组织3450名执法部门民警参加法律知识考试，将学法用法纳入干部考核，推动形成“主要领导带头学、法制部门牵头学、全体民警主动学”的生动局面。</w:t>
      </w:r>
      <w:r>
        <w:rPr>
          <w:rFonts w:hint="eastAsia" w:ascii="仿宋_GB2312" w:hAnsi="仿宋" w:eastAsia="仿宋_GB2312" w:cs="仿宋"/>
          <w:bCs/>
          <w:sz w:val="32"/>
          <w:szCs w:val="32"/>
        </w:rPr>
        <w:t>三是锤炼履职能力，赋能公安现代化。</w:t>
      </w:r>
      <w:r>
        <w:rPr>
          <w:rFonts w:hint="eastAsia" w:ascii="仿宋_GB2312" w:hAnsi="仿宋" w:eastAsia="仿宋_GB2312" w:cs="仿宋"/>
          <w:sz w:val="32"/>
          <w:szCs w:val="32"/>
        </w:rPr>
        <w:t>实施《公安政治工作服务保障石家庄公安工作现代化行动实施计划（2024-2027年）》，落实素质强警、文化育警、从优待警措施，</w:t>
      </w:r>
      <w:r>
        <w:rPr>
          <w:rFonts w:hint="eastAsia" w:ascii="仿宋_GB2312" w:hAnsi="仿宋" w:eastAsia="仿宋_GB2312" w:cs="仿宋"/>
          <w:sz w:val="32"/>
          <w:szCs w:val="32"/>
          <w:shd w:val="clear" w:color="auto" w:fill="FFFFFF"/>
        </w:rPr>
        <w:t>梳</w:t>
      </w:r>
      <w:r>
        <w:rPr>
          <w:rFonts w:hint="eastAsia" w:ascii="仿宋_GB2312" w:hAnsi="仿宋" w:eastAsia="仿宋_GB2312" w:cs="仿宋"/>
          <w:sz w:val="32"/>
          <w:szCs w:val="32"/>
        </w:rPr>
        <w:t>理入库5大类30项138种专业类别人才596人，组建专业工作室18个、人才战队21个、兴趣沙龙10个；与清华大学、公安大学等高校共建“战学研”平台，围绕“体能、战术、业务、科技、最小单元协同”五大领域，开展“四小四随”“红蓝对抗”等培训886期（次），参训警员3.08万人次，全警能力素质显著提升。</w:t>
      </w:r>
    </w:p>
    <w:p w14:paraId="5B921906">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三、优化服务供给，提升政务民生温度</w:t>
      </w:r>
    </w:p>
    <w:p w14:paraId="03BC4345">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以数字化转型为牵引，全面深化公安政务服务改革，助力优化营商环境。</w:t>
      </w:r>
      <w:r>
        <w:rPr>
          <w:rFonts w:hint="eastAsia" w:ascii="仿宋_GB2312" w:hAnsi="仿宋" w:eastAsia="仿宋_GB2312" w:cs="仿宋"/>
          <w:bCs/>
          <w:sz w:val="32"/>
          <w:szCs w:val="32"/>
        </w:rPr>
        <w:t>一是科技赋能警务实战。</w:t>
      </w:r>
      <w:r>
        <w:rPr>
          <w:rFonts w:hint="eastAsia" w:ascii="仿宋_GB2312" w:hAnsi="仿宋" w:eastAsia="仿宋_GB2312" w:cs="仿宋"/>
          <w:sz w:val="32"/>
          <w:szCs w:val="32"/>
        </w:rPr>
        <w:t>打造“AI+大数据”作战体系，实现案件研判效率提升75%、数据查询精准率提升88%；创新“数字化智慧安保”平台，圆满完成石家庄马拉松、中甲联赛、草莓音乐节等重大活动安保；建设电动自行车综合管理服务平台，全市492.14万辆电动自行车100%数字化号牌覆盖，白牌车平稳淘汰，涉电动自行车伤亡事故下降21%，相关经验被公安部推广为全国管理标准。</w:t>
      </w:r>
      <w:r>
        <w:rPr>
          <w:rFonts w:hint="eastAsia" w:ascii="仿宋_GB2312" w:hAnsi="仿宋" w:eastAsia="仿宋_GB2312" w:cs="仿宋"/>
          <w:bCs/>
          <w:sz w:val="32"/>
          <w:szCs w:val="32"/>
        </w:rPr>
        <w:t>二是升级政务服务效能。</w:t>
      </w:r>
      <w:r>
        <w:rPr>
          <w:rFonts w:hint="eastAsia" w:ascii="仿宋_GB2312" w:hAnsi="仿宋" w:eastAsia="仿宋_GB2312" w:cs="仿宋"/>
          <w:sz w:val="32"/>
          <w:szCs w:val="32"/>
        </w:rPr>
        <w:t>改造出入境智慧大厅，自助业务办理量达3.6万余件次，非工作时间业务量占比超30%；研发境外人员住宿登记系统、“智慧预约”“智慧引导”小程序，服务境外人员2933人次；推出政审“绿色通道”、“晚间专场办”、出入境+户籍“容缺办”等引才服务；上线居住证网办小程序，办理13.3万人次，流动人口“互联网+”登记率达79.6%，6类高频业务实现“跨所通办”“跨省通办”；</w:t>
      </w:r>
      <w:r>
        <w:rPr>
          <w:rFonts w:hint="eastAsia" w:ascii="仿宋_GB2312" w:hAnsi="仿宋" w:eastAsia="仿宋_GB2312" w:cs="仿宋"/>
          <w:kern w:val="21"/>
          <w:sz w:val="32"/>
          <w:szCs w:val="32"/>
        </w:rPr>
        <w:t>特别是</w:t>
      </w:r>
      <w:r>
        <w:rPr>
          <w:rFonts w:hint="eastAsia" w:ascii="仿宋_GB2312" w:hAnsi="仿宋" w:eastAsia="仿宋_GB2312" w:cs="仿宋"/>
          <w:sz w:val="32"/>
          <w:szCs w:val="32"/>
        </w:rPr>
        <w:t>新增26598个公共停车泊位，超额完成市政府年度民生实事任务。</w:t>
      </w:r>
      <w:r>
        <w:rPr>
          <w:rFonts w:hint="eastAsia" w:ascii="仿宋_GB2312" w:hAnsi="仿宋" w:eastAsia="仿宋_GB2312" w:cs="仿宋"/>
          <w:bCs/>
          <w:sz w:val="32"/>
          <w:szCs w:val="32"/>
        </w:rPr>
        <w:t>三是护航法治营商环境。</w:t>
      </w:r>
      <w:r>
        <w:rPr>
          <w:rFonts w:hint="eastAsia" w:ascii="仿宋_GB2312" w:hAnsi="仿宋" w:eastAsia="仿宋_GB2312" w:cs="仿宋"/>
          <w:sz w:val="32"/>
          <w:szCs w:val="32"/>
        </w:rPr>
        <w:t>开通23个“企业商务专窗”，为重点企业人员出入境提供全流程便利。建立“警企专属民警”“警企联席制度”，推出“经侦会客厅”，</w:t>
      </w:r>
      <w:r>
        <w:rPr>
          <w:rFonts w:hint="eastAsia" w:ascii="仿宋_GB2312" w:hAnsi="仿宋" w:eastAsia="仿宋_GB2312" w:cs="仿宋"/>
          <w:kern w:val="0"/>
          <w:sz w:val="32"/>
          <w:szCs w:val="32"/>
        </w:rPr>
        <w:t>精准开展定制风险预警报告、定制合规培训课程、定制快速响应通道的“三定制”服务。建立“预防、响应、修复”全链条协同共治机制，丰富完善“经侦益企行”APP功能，组织开展培训授课活动，累计</w:t>
      </w:r>
      <w:r>
        <w:rPr>
          <w:rFonts w:hint="eastAsia" w:ascii="仿宋_GB2312" w:hAnsi="仿宋" w:eastAsia="仿宋_GB2312" w:cs="仿宋"/>
          <w:sz w:val="32"/>
          <w:szCs w:val="32"/>
        </w:rPr>
        <w:t>注册企业959家。</w:t>
      </w:r>
      <w:r>
        <w:rPr>
          <w:rFonts w:hint="eastAsia" w:ascii="仿宋_GB2312" w:hAnsi="仿宋" w:eastAsia="仿宋_GB2312" w:cs="仿宋"/>
          <w:kern w:val="0"/>
          <w:sz w:val="32"/>
          <w:szCs w:val="32"/>
        </w:rPr>
        <w:t>深入排查清理各类涉企案件，</w:t>
      </w:r>
      <w:r>
        <w:rPr>
          <w:rFonts w:hint="eastAsia" w:ascii="仿宋_GB2312" w:hAnsi="仿宋" w:eastAsia="仿宋_GB2312" w:cs="仿宋"/>
          <w:sz w:val="32"/>
          <w:szCs w:val="32"/>
        </w:rPr>
        <w:t>解封解冻涉案财物上亿元，</w:t>
      </w:r>
      <w:r>
        <w:rPr>
          <w:rFonts w:hint="eastAsia" w:ascii="仿宋_GB2312" w:hAnsi="仿宋" w:eastAsia="仿宋_GB2312" w:cs="仿宋"/>
          <w:kern w:val="0"/>
          <w:sz w:val="32"/>
          <w:szCs w:val="32"/>
        </w:rPr>
        <w:t>有效保护了企业合法权益。</w:t>
      </w:r>
      <w:r>
        <w:rPr>
          <w:rFonts w:hint="eastAsia" w:ascii="仿宋_GB2312" w:hAnsi="仿宋" w:eastAsia="仿宋_GB2312" w:cs="仿宋"/>
          <w:sz w:val="32"/>
          <w:szCs w:val="32"/>
        </w:rPr>
        <w:t>开展“剑网”“安芯”等专项行动，</w:t>
      </w:r>
      <w:r>
        <w:rPr>
          <w:rFonts w:hint="eastAsia" w:ascii="仿宋_GB2312" w:hAnsi="仿宋" w:eastAsia="仿宋_GB2312" w:cs="仿宋"/>
          <w:bCs/>
          <w:kern w:val="0"/>
          <w:sz w:val="32"/>
          <w:szCs w:val="32"/>
        </w:rPr>
        <w:t>严厉</w:t>
      </w:r>
      <w:r>
        <w:rPr>
          <w:rFonts w:hint="eastAsia" w:ascii="仿宋_GB2312" w:hAnsi="仿宋" w:eastAsia="仿宋_GB2312" w:cs="仿宋"/>
          <w:sz w:val="32"/>
          <w:szCs w:val="32"/>
        </w:rPr>
        <w:t>打击侵权、</w:t>
      </w:r>
      <w:r>
        <w:rPr>
          <w:rFonts w:hint="eastAsia" w:ascii="仿宋_GB2312" w:hAnsi="仿宋" w:eastAsia="仿宋_GB2312" w:cs="仿宋"/>
          <w:bCs/>
          <w:kern w:val="0"/>
          <w:sz w:val="32"/>
          <w:szCs w:val="32"/>
        </w:rPr>
        <w:t>扰乱市场秩序、</w:t>
      </w:r>
      <w:r>
        <w:rPr>
          <w:rFonts w:hint="eastAsia" w:ascii="仿宋_GB2312" w:hAnsi="仿宋" w:eastAsia="仿宋_GB2312" w:cs="仿宋"/>
          <w:sz w:val="32"/>
          <w:szCs w:val="32"/>
        </w:rPr>
        <w:t>侵犯知识产权等违法犯罪行动，</w:t>
      </w:r>
      <w:r>
        <w:rPr>
          <w:rFonts w:hint="eastAsia" w:ascii="仿宋_GB2312" w:hAnsi="仿宋" w:eastAsia="仿宋_GB2312" w:cs="仿宋"/>
          <w:bCs/>
          <w:kern w:val="0"/>
          <w:sz w:val="32"/>
          <w:szCs w:val="32"/>
        </w:rPr>
        <w:t>成功破获一批</w:t>
      </w:r>
      <w:r>
        <w:rPr>
          <w:rFonts w:hint="eastAsia" w:ascii="仿宋_GB2312" w:hAnsi="仿宋" w:eastAsia="仿宋_GB2312" w:cs="仿宋"/>
          <w:sz w:val="32"/>
          <w:szCs w:val="32"/>
        </w:rPr>
        <w:t>重特大案件，获公安部、交通运输部贺电表扬，市场秩序持续优化。</w:t>
      </w:r>
    </w:p>
    <w:p w14:paraId="124C9C1C">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四、完善制度体系，夯实依法行政基础</w:t>
      </w:r>
    </w:p>
    <w:p w14:paraId="31671334">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坚持立法先行、制度护航，推动公安工作法治化、规范化发展。</w:t>
      </w:r>
      <w:r>
        <w:rPr>
          <w:rFonts w:hint="eastAsia" w:ascii="仿宋_GB2312" w:hAnsi="仿宋" w:eastAsia="仿宋_GB2312" w:cs="仿宋"/>
          <w:bCs/>
          <w:sz w:val="32"/>
          <w:szCs w:val="32"/>
        </w:rPr>
        <w:t>一是推进重点立法调研。</w:t>
      </w:r>
      <w:r>
        <w:rPr>
          <w:rFonts w:hint="eastAsia" w:ascii="仿宋_GB2312" w:hAnsi="仿宋" w:eastAsia="仿宋_GB2312" w:cs="仿宋"/>
          <w:sz w:val="32"/>
          <w:szCs w:val="32"/>
        </w:rPr>
        <w:t>遵循“深入实际、聚焦问题、广纳建议、科学论证”原则，完成《石家庄市公共交通治安管理办法》修订调研，形成高质量调研报告，为立法项目申报奠定基础。</w:t>
      </w:r>
      <w:r>
        <w:rPr>
          <w:rFonts w:hint="eastAsia" w:ascii="仿宋_GB2312" w:hAnsi="仿宋" w:eastAsia="仿宋_GB2312" w:cs="仿宋"/>
          <w:bCs/>
          <w:sz w:val="32"/>
          <w:szCs w:val="32"/>
        </w:rPr>
        <w:t>二是推动地方立法落地。</w:t>
      </w:r>
      <w:r>
        <w:rPr>
          <w:rFonts w:hint="eastAsia" w:ascii="仿宋_GB2312" w:hAnsi="仿宋" w:eastAsia="仿宋_GB2312" w:cs="仿宋"/>
          <w:sz w:val="32"/>
          <w:szCs w:val="32"/>
        </w:rPr>
        <w:t>2025年5月1日施行的《石家庄市停车管理条例》，通过规范停车秩序、治理“停车难乱”问题，推动智慧停车建设，有效提升公共资源利用效率，助力城市治理现代化。</w:t>
      </w:r>
      <w:r>
        <w:rPr>
          <w:rFonts w:hint="eastAsia" w:ascii="仿宋_GB2312" w:hAnsi="仿宋" w:eastAsia="仿宋_GB2312" w:cs="仿宋"/>
          <w:bCs/>
          <w:sz w:val="32"/>
          <w:szCs w:val="32"/>
        </w:rPr>
        <w:t>三是开展规范性文件清理。</w:t>
      </w:r>
      <w:r>
        <w:rPr>
          <w:rFonts w:hint="eastAsia" w:ascii="仿宋_GB2312" w:hAnsi="仿宋" w:eastAsia="仿宋_GB2312" w:cs="仿宋"/>
          <w:sz w:val="32"/>
          <w:szCs w:val="32"/>
        </w:rPr>
        <w:t>对2023年12月出台的《石家庄市公安机关警务辅助人员管理办法（试行）》开展评估，论证后建议删除“试行”转为正式文件，经市司法局批准实施，延期5年使用，确保了行政管理依据合法有效。</w:t>
      </w:r>
    </w:p>
    <w:p w14:paraId="335CD96D">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五、严格规范执法，提升案件办理质效</w:t>
      </w:r>
    </w:p>
    <w:p w14:paraId="7B6F5468">
      <w:pPr>
        <w:spacing w:line="560" w:lineRule="exact"/>
        <w:ind w:firstLine="640" w:firstLineChars="200"/>
        <w:rPr>
          <w:rFonts w:ascii="仿宋_GB2312" w:hAnsi="仿宋" w:eastAsia="仿宋_GB2312" w:cs="仿宋"/>
          <w:kern w:val="0"/>
          <w:sz w:val="32"/>
          <w:szCs w:val="32"/>
        </w:rPr>
      </w:pPr>
      <w:r>
        <w:rPr>
          <w:rFonts w:hint="eastAsia" w:ascii="仿宋_GB2312" w:hAnsi="仿宋" w:eastAsia="仿宋_GB2312" w:cs="仿宋"/>
          <w:sz w:val="32"/>
          <w:szCs w:val="32"/>
        </w:rPr>
        <w:t>以执法监督管理机制改革为关键，全面构建全流程、闭环式公安执法体系。</w:t>
      </w:r>
      <w:r>
        <w:rPr>
          <w:rFonts w:hint="eastAsia" w:ascii="仿宋_GB2312" w:hAnsi="仿宋" w:eastAsia="仿宋_GB2312" w:cs="仿宋"/>
          <w:bCs/>
          <w:sz w:val="32"/>
          <w:szCs w:val="32"/>
        </w:rPr>
        <w:t>一是健全制度指引。</w:t>
      </w:r>
      <w:r>
        <w:rPr>
          <w:rFonts w:hint="eastAsia" w:ascii="仿宋_GB2312" w:hAnsi="仿宋" w:eastAsia="仿宋_GB2312" w:cs="仿宋"/>
          <w:sz w:val="32"/>
          <w:szCs w:val="32"/>
        </w:rPr>
        <w:t>依托法治沙龙开展法律研究，上线“规范指引”专栏，集成《常见犯罪案件证据审查指引（试用）》、跨省涉企、</w:t>
      </w:r>
      <w:r>
        <w:rPr>
          <w:rFonts w:hint="eastAsia" w:ascii="仿宋_GB2312" w:hAnsi="仿宋" w:eastAsia="仿宋_GB2312" w:cs="仿宋"/>
          <w:bCs/>
          <w:sz w:val="32"/>
          <w:szCs w:val="32"/>
        </w:rPr>
        <w:t>受案管辖、涉案财物、异地协作、</w:t>
      </w:r>
      <w:r>
        <w:rPr>
          <w:rFonts w:hint="eastAsia" w:ascii="仿宋_GB2312" w:hAnsi="仿宋" w:eastAsia="仿宋_GB2312" w:cs="仿宋"/>
          <w:sz w:val="32"/>
          <w:szCs w:val="32"/>
        </w:rPr>
        <w:t>未成年犯罪等指引文件、法律法规汇编；开展“大学法大提升”行动，围绕《</w:t>
      </w:r>
      <w:r>
        <w:rPr>
          <w:rFonts w:hint="eastAsia" w:ascii="仿宋_GB2312" w:hAnsi="仿宋" w:eastAsia="仿宋_GB2312" w:cs="仿宋"/>
          <w:bCs/>
          <w:sz w:val="32"/>
          <w:szCs w:val="32"/>
        </w:rPr>
        <w:t>治安管理处罚法》《接报案与立案工作规定》等</w:t>
      </w:r>
      <w:r>
        <w:rPr>
          <w:rFonts w:hint="eastAsia" w:ascii="仿宋_GB2312" w:hAnsi="仿宋" w:eastAsia="仿宋_GB2312" w:cs="仿宋"/>
          <w:sz w:val="32"/>
          <w:szCs w:val="32"/>
        </w:rPr>
        <w:t>新法新规组织专题培训考试，一线民警执法能力显著提升；制发《刑事诉讼涉案财物先期处置工作规定（试行）》，解决涉案财物保管难、贬值风险问题，保护当事人合法权益。</w:t>
      </w:r>
      <w:r>
        <w:rPr>
          <w:rFonts w:hint="eastAsia" w:ascii="仿宋_GB2312" w:hAnsi="仿宋" w:eastAsia="仿宋_GB2312" w:cs="仿宋"/>
          <w:bCs/>
          <w:sz w:val="32"/>
          <w:szCs w:val="32"/>
        </w:rPr>
        <w:t>二是深化改革监督。</w:t>
      </w:r>
      <w:r>
        <w:rPr>
          <w:rFonts w:hint="eastAsia" w:ascii="仿宋_GB2312" w:hAnsi="仿宋" w:eastAsia="仿宋_GB2312" w:cs="仿宋"/>
          <w:sz w:val="32"/>
          <w:szCs w:val="32"/>
        </w:rPr>
        <w:t>发挥执法监督管理委员会“抓总议要”作用，健全案件全流程管控机制，24小时规范处警率、30日规范立案率达100%；推行刑审部门重大案件提前介入，提捕、移诉审理率分别提升至89.38%、86.10%；运用大数据打造执法监督风险预警模型，对警情、案件等执法要素无感式、智能化监督，推动监管模式向全程伴随转变。</w:t>
      </w:r>
      <w:r>
        <w:rPr>
          <w:rFonts w:hint="eastAsia" w:ascii="仿宋_GB2312" w:hAnsi="仿宋" w:eastAsia="仿宋_GB2312" w:cs="仿宋"/>
          <w:bCs/>
          <w:sz w:val="32"/>
          <w:szCs w:val="32"/>
        </w:rPr>
        <w:t>三是发挥执法办案管理中心效能。</w:t>
      </w:r>
      <w:r>
        <w:rPr>
          <w:rFonts w:hint="eastAsia" w:ascii="仿宋_GB2312" w:hAnsi="仿宋" w:eastAsia="仿宋_GB2312" w:cs="仿宋"/>
          <w:sz w:val="32"/>
          <w:szCs w:val="32"/>
        </w:rPr>
        <w:t>全市</w:t>
      </w:r>
      <w:r>
        <w:rPr>
          <w:rFonts w:hint="eastAsia" w:ascii="仿宋_GB2312" w:hAnsi="仿宋" w:eastAsia="仿宋_GB2312" w:cs="仿宋"/>
          <w:kern w:val="0"/>
          <w:sz w:val="32"/>
          <w:szCs w:val="32"/>
        </w:rPr>
        <w:t>23个执法办案管理中心已全部启用，</w:t>
      </w:r>
      <w:r>
        <w:rPr>
          <w:rFonts w:hint="eastAsia" w:ascii="仿宋_GB2312" w:hAnsi="仿宋" w:eastAsia="仿宋_GB2312" w:cs="仿宋"/>
          <w:sz w:val="32"/>
          <w:szCs w:val="32"/>
        </w:rPr>
        <w:t>针对中心安全规范运行，通过常态化网上巡检通报、实地调研督导，全市执法办案管理中心规范化水平稳步提升。着力打造“裕华样本”，全省执法办案管理中心提质增效观摩交流座谈会在我市裕华分局召开，裕华分局执法办案管理中心获评全国执法示范单位。</w:t>
      </w:r>
    </w:p>
    <w:p w14:paraId="1D4E117E">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六、强化风险化解，筑牢平安稳定基石</w:t>
      </w:r>
    </w:p>
    <w:p w14:paraId="079E3A26">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坚持和发展新时代“枫桥经验”，构建多元共治社会治理格局。</w:t>
      </w:r>
      <w:r>
        <w:rPr>
          <w:rFonts w:hint="eastAsia" w:ascii="仿宋_GB2312" w:hAnsi="仿宋" w:eastAsia="仿宋_GB2312" w:cs="仿宋"/>
          <w:bCs/>
          <w:sz w:val="32"/>
          <w:szCs w:val="32"/>
        </w:rPr>
        <w:t>一是维护社会稳定。</w:t>
      </w:r>
      <w:r>
        <w:rPr>
          <w:rFonts w:hint="eastAsia" w:ascii="仿宋_GB2312" w:hAnsi="仿宋" w:eastAsia="仿宋_GB2312" w:cs="仿宋"/>
          <w:sz w:val="32"/>
          <w:szCs w:val="32"/>
        </w:rPr>
        <w:t>推进“化解矛盾风险、维护社会稳定”专项行动，强化信访法治化，落实维护稳定责任制，全市到部涉警信访登记事项下降8.2%，四级公安机关初信初访到访量下降25.4%，法治权威持续彰显。</w:t>
      </w:r>
      <w:r>
        <w:rPr>
          <w:rFonts w:hint="eastAsia" w:ascii="仿宋_GB2312" w:hAnsi="仿宋" w:eastAsia="仿宋_GB2312" w:cs="仿宋"/>
          <w:bCs/>
          <w:sz w:val="32"/>
          <w:szCs w:val="32"/>
        </w:rPr>
        <w:t>二是筑牢治安防线。</w:t>
      </w:r>
      <w:r>
        <w:rPr>
          <w:rFonts w:hint="eastAsia" w:ascii="仿宋_GB2312" w:hAnsi="仿宋" w:eastAsia="仿宋_GB2312" w:cs="仿宋"/>
          <w:sz w:val="32"/>
          <w:szCs w:val="32"/>
        </w:rPr>
        <w:t>开展“夏季雷霆”等专项行动，制定《矛盾纠纷排查化解工作规范》，依托“莉英团队”“石门大妈”等调解力量，累计化解矛盾纠纷20202起（化解率99.99%）；创新“拘调对接”模式，经验被《人民调解》刊发并在全国会议作典型发言；评选6个“新时代”标杆派出所、10个标杆警务室，桥西分局红旗派出所入选全国“枫桥式公安派出所”。</w:t>
      </w:r>
      <w:r>
        <w:rPr>
          <w:rFonts w:hint="eastAsia" w:ascii="仿宋_GB2312" w:hAnsi="仿宋" w:eastAsia="仿宋_GB2312" w:cs="仿宋"/>
          <w:bCs/>
          <w:sz w:val="32"/>
          <w:szCs w:val="32"/>
        </w:rPr>
        <w:t>三是深化平安建设。</w:t>
      </w:r>
      <w:r>
        <w:rPr>
          <w:rFonts w:hint="eastAsia" w:ascii="仿宋_GB2312" w:hAnsi="仿宋" w:eastAsia="仿宋_GB2312" w:cs="仿宋"/>
          <w:sz w:val="32"/>
          <w:szCs w:val="32"/>
        </w:rPr>
        <w:t>持续推进“靖安”专项行动，重拳打击突出违法犯罪，全市刑事立案、刑事警情、治安警情同比分别下降20.9%、0.57%、2.28%；研发“短信评警”平台和“民意直通车”小程序，汇聚12345、12389、12123等民意感知渠道，汇聚数据460万余条，办理群众诉求16414件，办结率100%，获点赞表扬10.2万次，群众安全感、满意度显著提升。</w:t>
      </w:r>
    </w:p>
    <w:p w14:paraId="2F7FC048">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cs="仿宋"/>
          <w:sz w:val="32"/>
          <w:szCs w:val="32"/>
        </w:rPr>
        <w:t>特此报告。</w:t>
      </w:r>
      <w:r>
        <w:rPr>
          <w:rFonts w:hint="eastAsia" w:ascii="仿宋_GB2312" w:hAnsi="仿宋" w:eastAsia="仿宋_GB2312"/>
          <w:sz w:val="32"/>
          <w:szCs w:val="32"/>
        </w:rPr>
        <w:t xml:space="preserve"> </w:t>
      </w:r>
    </w:p>
    <w:p w14:paraId="3E3BB65E">
      <w:pPr>
        <w:spacing w:line="560" w:lineRule="exact"/>
        <w:rPr>
          <w:rFonts w:hint="eastAsia" w:ascii="仿宋_GB2312" w:hAnsi="仿宋" w:eastAsia="仿宋_GB2312"/>
          <w:sz w:val="32"/>
          <w:szCs w:val="32"/>
        </w:rPr>
      </w:pPr>
    </w:p>
    <w:p w14:paraId="4E0B8ADB">
      <w:pPr>
        <w:spacing w:line="560" w:lineRule="exact"/>
        <w:rPr>
          <w:rFonts w:hint="eastAsia" w:ascii="仿宋_GB2312" w:hAnsi="仿宋" w:eastAsia="仿宋_GB2312"/>
          <w:sz w:val="32"/>
          <w:szCs w:val="32"/>
        </w:rPr>
      </w:pPr>
    </w:p>
    <w:p w14:paraId="4500B423">
      <w:pPr>
        <w:spacing w:line="560" w:lineRule="exact"/>
        <w:rPr>
          <w:rFonts w:hint="eastAsia" w:ascii="仿宋_GB2312" w:hAnsi="仿宋" w:eastAsia="仿宋_GB2312"/>
          <w:sz w:val="32"/>
          <w:szCs w:val="32"/>
        </w:rPr>
      </w:pPr>
    </w:p>
    <w:p w14:paraId="295DA8F5">
      <w:pPr>
        <w:spacing w:line="560" w:lineRule="exact"/>
        <w:rPr>
          <w:rFonts w:hint="eastAsia" w:ascii="仿宋_GB2312" w:hAnsi="仿宋" w:eastAsia="仿宋_GB2312"/>
          <w:sz w:val="32"/>
          <w:szCs w:val="32"/>
        </w:rPr>
      </w:pPr>
    </w:p>
    <w:p w14:paraId="5FFA8E8C">
      <w:pPr>
        <w:spacing w:line="560" w:lineRule="exact"/>
        <w:rPr>
          <w:rFonts w:hint="default" w:ascii="仿宋_GB2312" w:hAnsi="仿宋" w:eastAsia="仿宋_GB2312"/>
          <w:sz w:val="32"/>
          <w:szCs w:val="32"/>
          <w:lang w:val="en-US" w:eastAsia="zh-CN"/>
        </w:rPr>
      </w:pPr>
      <w:r>
        <w:rPr>
          <w:rFonts w:hint="default" w:ascii="仿宋_GB2312" w:hAnsi="仿宋" w:eastAsia="仿宋_GB2312"/>
          <w:sz w:val="32"/>
          <w:szCs w:val="32"/>
          <w:lang w:val="en"/>
        </w:rPr>
        <w:t xml:space="preserve">     </w:t>
      </w:r>
      <w:r>
        <w:rPr>
          <w:rFonts w:hint="eastAsia" w:ascii="仿宋_GB2312" w:hAnsi="仿宋" w:eastAsia="仿宋_GB2312"/>
          <w:sz w:val="32"/>
          <w:szCs w:val="32"/>
          <w:lang w:val="en-US" w:eastAsia="zh-CN"/>
        </w:rPr>
        <w:t xml:space="preserve">                       </w:t>
      </w:r>
      <w:r>
        <w:rPr>
          <w:rFonts w:hint="default" w:ascii="仿宋_GB2312" w:hAnsi="仿宋" w:eastAsia="仿宋_GB2312"/>
          <w:sz w:val="32"/>
          <w:szCs w:val="32"/>
          <w:lang w:val="en"/>
        </w:rPr>
        <w:t>2025</w:t>
      </w:r>
      <w:r>
        <w:rPr>
          <w:rFonts w:hint="eastAsia" w:ascii="仿宋_GB2312" w:hAnsi="仿宋" w:eastAsia="仿宋_GB2312"/>
          <w:sz w:val="32"/>
          <w:szCs w:val="32"/>
          <w:lang w:val="en" w:eastAsia="zh-CN"/>
        </w:rPr>
        <w:t>年</w:t>
      </w:r>
      <w:r>
        <w:rPr>
          <w:rFonts w:hint="eastAsia" w:ascii="仿宋_GB2312" w:hAnsi="仿宋" w:eastAsia="仿宋_GB2312"/>
          <w:sz w:val="32"/>
          <w:szCs w:val="32"/>
          <w:lang w:val="en-US" w:eastAsia="zh-CN"/>
        </w:rPr>
        <w:t>1月30日</w:t>
      </w:r>
    </w:p>
    <w:sectPr>
      <w:footerReference r:id="rId3" w:type="default"/>
      <w:pgSz w:w="11907" w:h="16840"/>
      <w:pgMar w:top="2098" w:right="1474" w:bottom="1985" w:left="1588" w:header="720" w:footer="720" w:gutter="0"/>
      <w:pgNumType w:fmt="numberInDash" w:start="1"/>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21249">
    <w:pPr>
      <w:pStyle w:val="3"/>
      <w:tabs>
        <w:tab w:val="right" w:pos="8845"/>
      </w:tabs>
      <w:jc w:val="both"/>
      <w:rPr>
        <w:rFonts w:asciiTheme="minorEastAsia" w:hAnsiTheme="minorEastAsia"/>
        <w:sz w:val="28"/>
        <w:szCs w:val="28"/>
      </w:rPr>
    </w:pPr>
    <w:r>
      <w:rPr>
        <w:rFonts w:hint="eastAsia" w:asciiTheme="minorEastAsia" w:hAnsiTheme="minorEastAsia"/>
        <w:sz w:val="28"/>
        <w:szCs w:val="28"/>
      </w:rPr>
      <w:t>-8-</w:t>
    </w:r>
    <w:r>
      <w:rPr>
        <w:rFonts w:asciiTheme="minorEastAsia" w:hAnsiTheme="minorEastAsia"/>
        <w:sz w:val="28"/>
        <w:szCs w:val="28"/>
      </w:rPr>
      <w:tab/>
    </w:r>
    <w:r>
      <w:rPr>
        <w:rFonts w:asciiTheme="minorEastAsia" w:hAnsiTheme="minorEastAsia"/>
        <w:sz w:val="28"/>
        <w:szCs w:val="28"/>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40CF4"/>
    <w:rsid w:val="00005E9F"/>
    <w:rsid w:val="0002387A"/>
    <w:rsid w:val="00030627"/>
    <w:rsid w:val="000755B3"/>
    <w:rsid w:val="000E2694"/>
    <w:rsid w:val="0019234D"/>
    <w:rsid w:val="001E620E"/>
    <w:rsid w:val="003C6BB4"/>
    <w:rsid w:val="003D641F"/>
    <w:rsid w:val="003F1AA1"/>
    <w:rsid w:val="003F4C1B"/>
    <w:rsid w:val="00472971"/>
    <w:rsid w:val="00511E45"/>
    <w:rsid w:val="005559A3"/>
    <w:rsid w:val="0057557F"/>
    <w:rsid w:val="006F0421"/>
    <w:rsid w:val="007E42EC"/>
    <w:rsid w:val="00802128"/>
    <w:rsid w:val="00813DC6"/>
    <w:rsid w:val="00821E33"/>
    <w:rsid w:val="00902AA9"/>
    <w:rsid w:val="009427F9"/>
    <w:rsid w:val="0097366E"/>
    <w:rsid w:val="009B2581"/>
    <w:rsid w:val="00BC359B"/>
    <w:rsid w:val="00C21BFE"/>
    <w:rsid w:val="00CD3DB4"/>
    <w:rsid w:val="00CE565F"/>
    <w:rsid w:val="00D95EA1"/>
    <w:rsid w:val="00E40CF4"/>
    <w:rsid w:val="00EF705A"/>
    <w:rsid w:val="00F174EA"/>
    <w:rsid w:val="00F524CB"/>
    <w:rsid w:val="0295536C"/>
    <w:rsid w:val="11290ECA"/>
    <w:rsid w:val="47624B01"/>
    <w:rsid w:val="BDFE9F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基本段落]"/>
    <w:basedOn w:val="1"/>
    <w:qFormat/>
    <w:uiPriority w:val="99"/>
    <w:pPr>
      <w:autoSpaceDE w:val="0"/>
      <w:autoSpaceDN w:val="0"/>
      <w:adjustRightInd w:val="0"/>
      <w:spacing w:line="288" w:lineRule="auto"/>
      <w:textAlignment w:val="center"/>
    </w:pPr>
    <w:rPr>
      <w:rFonts w:ascii="宋体" w:eastAsia="宋体" w:cs="宋体"/>
      <w:color w:val="000000"/>
      <w:kern w:val="0"/>
      <w:sz w:val="24"/>
      <w:szCs w:val="24"/>
      <w:lang w:val="zh-CN"/>
    </w:rPr>
  </w:style>
  <w:style w:type="character" w:customStyle="1" w:styleId="9">
    <w:name w:val="批注框文本 Char"/>
    <w:basedOn w:val="7"/>
    <w:link w:val="2"/>
    <w:semiHidden/>
    <w:qFormat/>
    <w:uiPriority w:val="99"/>
    <w:rPr>
      <w:sz w:val="18"/>
      <w:szCs w:val="18"/>
    </w:rPr>
  </w:style>
  <w:style w:type="character" w:customStyle="1" w:styleId="10">
    <w:name w:val="页眉 Char"/>
    <w:basedOn w:val="7"/>
    <w:link w:val="4"/>
    <w:qFormat/>
    <w:uiPriority w:val="99"/>
    <w:rPr>
      <w:sz w:val="18"/>
      <w:szCs w:val="18"/>
    </w:rPr>
  </w:style>
  <w:style w:type="character" w:customStyle="1" w:styleId="11">
    <w:name w:val="页脚 Char"/>
    <w:basedOn w:val="7"/>
    <w:link w:val="3"/>
    <w:qFormat/>
    <w:uiPriority w:val="99"/>
    <w:rPr>
      <w:sz w:val="18"/>
      <w:szCs w:val="18"/>
    </w:rPr>
  </w:style>
  <w:style w:type="paragraph" w:customStyle="1" w:styleId="12">
    <w:name w:val="Char Char Char Char Char Char Char Char Char Char Char Char Char Char Char Char"/>
    <w:basedOn w:val="1"/>
    <w:qFormat/>
    <w:uiPriority w:val="0"/>
    <w:pPr>
      <w:tabs>
        <w:tab w:val="left" w:pos="360"/>
      </w:tabs>
    </w:pPr>
    <w:rPr>
      <w:rFonts w:ascii="Calibri" w:hAnsi="Calibri" w:eastAsia="宋体" w:cs="Times New Roman"/>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Pages>
  <Words>3254</Words>
  <Characters>3414</Characters>
  <Lines>24</Lines>
  <Paragraphs>6</Paragraphs>
  <TotalTime>4</TotalTime>
  <ScaleCrop>false</ScaleCrop>
  <LinksUpToDate>false</LinksUpToDate>
  <CharactersWithSpaces>3443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2026-02-10T16:03:00Z</dcterms:created>
  <dc:creator>微软用户</dc:creator>
  <cp:lastModifiedBy>把我当成两棵树吧</cp:lastModifiedBy>
  <cp:lastPrinted>2026-02-03T17:38:00Z</cp:lastPrinted>
  <dcterms:modified xsi:type="dcterms:W3CDTF">2026-03-10T01:36:50Z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eyJoZGlkIjoiZGNhYmE4MGQ4YWQ4Zjk1MDMyNWQ4ODQwNTczMTZiOWQiLCJ1c2VySWQiOiIxNzg4NDMzMzE2In0=</vt:lpwstr>
  </property>
  <property fmtid="{D5CDD505-2E9C-101B-9397-08002B2CF9AE}" pid="4" name="ICV">
    <vt:lpwstr>B6E35FF29F0C4399B6C29A6F3192116D_12</vt:lpwstr>
  </property>
</Properties>
</file>